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0996E2A6" w:rsidR="00295384" w:rsidRDefault="00295384">
            <w:pPr>
              <w:pStyle w:val="01Title"/>
              <w:ind w:left="0"/>
              <w:jc w:val="left"/>
            </w:pPr>
            <w:r w:rsidRPr="00295384">
              <w:t xml:space="preserve">Number </w:t>
            </w:r>
            <w:r w:rsidR="00E9366E">
              <w:t>1</w:t>
            </w:r>
            <w:r w:rsidR="00460EE8">
              <w:t>0</w:t>
            </w:r>
            <w:r w:rsidRPr="00295384">
              <w:t xml:space="preserve"> of 20</w:t>
            </w:r>
            <w:r w:rsidR="003A79D7">
              <w:t>2</w:t>
            </w:r>
            <w:r w:rsidR="002E35BB">
              <w:t>6</w:t>
            </w:r>
          </w:p>
        </w:tc>
        <w:tc>
          <w:tcPr>
            <w:tcW w:w="2097" w:type="dxa"/>
            <w:shd w:val="clear" w:color="auto" w:fill="auto"/>
          </w:tcPr>
          <w:p w14:paraId="6B1AE784" w14:textId="31A7FB29" w:rsidR="00295384" w:rsidRPr="00E9366E" w:rsidRDefault="002E35BB">
            <w:pPr>
              <w:pStyle w:val="01Title"/>
              <w:jc w:val="right"/>
            </w:pPr>
            <w:r>
              <w:t>01</w:t>
            </w:r>
            <w:r w:rsidR="003464DA">
              <w:t>/</w:t>
            </w:r>
            <w:r>
              <w:t>01</w:t>
            </w:r>
            <w:r w:rsidR="00295384" w:rsidRPr="00E9366E">
              <w:t>/202</w:t>
            </w:r>
            <w:r>
              <w:t>6</w:t>
            </w:r>
          </w:p>
        </w:tc>
      </w:tr>
    </w:tbl>
    <w:p w14:paraId="0529924C" w14:textId="77777777" w:rsidR="00295384" w:rsidRPr="00295384" w:rsidRDefault="00295384" w:rsidP="00295384">
      <w:pPr>
        <w:pStyle w:val="01Title"/>
      </w:pPr>
      <w:bookmarkStart w:id="0" w:name="Port_of_Southampton_–_River_Itchen_–_No_"/>
      <w:bookmarkEnd w:id="0"/>
    </w:p>
    <w:p w14:paraId="6CC2B1B7" w14:textId="190FD074" w:rsidR="003A79D7" w:rsidRDefault="00953917" w:rsidP="003A79D7">
      <w:pPr>
        <w:pStyle w:val="01Title"/>
      </w:pPr>
      <w:r w:rsidRPr="00953917">
        <w:t xml:space="preserve">Request to </w:t>
      </w:r>
      <w:r w:rsidR="00E71430">
        <w:t>C</w:t>
      </w:r>
      <w:r w:rsidRPr="00953917">
        <w:t xml:space="preserve">arry </w:t>
      </w:r>
      <w:r w:rsidR="00E71430">
        <w:t>O</w:t>
      </w:r>
      <w:r w:rsidR="00E71430" w:rsidRPr="00953917">
        <w:t>ut</w:t>
      </w:r>
      <w:r w:rsidRPr="00953917">
        <w:t xml:space="preserve"> Commercial Operations </w:t>
      </w:r>
      <w:r w:rsidR="00E71430">
        <w:t>I</w:t>
      </w:r>
      <w:r w:rsidRPr="00953917">
        <w:t>nvolving Diving and Swimming</w:t>
      </w:r>
      <w:r w:rsidR="0076331D">
        <w:t xml:space="preserve"> </w:t>
      </w:r>
    </w:p>
    <w:p w14:paraId="440D334D" w14:textId="77777777" w:rsidR="00953917" w:rsidRDefault="00953917" w:rsidP="003A79D7">
      <w:pPr>
        <w:pStyle w:val="01Title"/>
        <w:rPr>
          <w:rStyle w:val="Emphasis"/>
        </w:rPr>
      </w:pPr>
    </w:p>
    <w:p w14:paraId="11D36DC3" w14:textId="77777777" w:rsidR="001936E8" w:rsidRDefault="003D0B24" w:rsidP="001936E8">
      <w:pPr>
        <w:pStyle w:val="04Numbering"/>
      </w:pPr>
      <w:r w:rsidRPr="008B47BF">
        <w:rPr>
          <w:rStyle w:val="Emphasis"/>
        </w:rPr>
        <w:t>NOTICE IS HEREBY GIVEN</w:t>
      </w:r>
      <w:r>
        <w:t xml:space="preserve"> </w:t>
      </w:r>
      <w:r w:rsidR="00006AB2" w:rsidRPr="008B47BF">
        <w:t>that</w:t>
      </w:r>
      <w:r w:rsidR="00241323">
        <w:t xml:space="preserve"> </w:t>
      </w:r>
      <w:r w:rsidR="001936E8">
        <w:t>all Masters, Agents and Contractors must ensure that a Permission to Dive Form or Swimming Request Form is submitted and approved by Southampton VTS prior to commencing any commercial operation.</w:t>
      </w:r>
    </w:p>
    <w:p w14:paraId="77269A4B" w14:textId="77777777" w:rsidR="001936E8" w:rsidRDefault="001936E8" w:rsidP="001936E8">
      <w:pPr>
        <w:pStyle w:val="04Numbering"/>
        <w:numPr>
          <w:ilvl w:val="0"/>
          <w:numId w:val="0"/>
        </w:numPr>
      </w:pPr>
    </w:p>
    <w:p w14:paraId="1EFA21E4" w14:textId="33AEFA7C" w:rsidR="001936E8" w:rsidRDefault="001936E8" w:rsidP="001936E8">
      <w:pPr>
        <w:pStyle w:val="04Numbering"/>
      </w:pPr>
      <w:r>
        <w:t>This applies to any area within ABP Southampton’s Statutory Harbour Authorit</w:t>
      </w:r>
      <w:r w:rsidR="00DD5E73">
        <w:t>y.</w:t>
      </w:r>
    </w:p>
    <w:p w14:paraId="7CF2D801" w14:textId="77777777" w:rsidR="001936E8" w:rsidRDefault="001936E8" w:rsidP="001936E8">
      <w:pPr>
        <w:pStyle w:val="04Numbering"/>
        <w:numPr>
          <w:ilvl w:val="0"/>
          <w:numId w:val="0"/>
        </w:numPr>
      </w:pPr>
    </w:p>
    <w:p w14:paraId="0B5596B4" w14:textId="3BFE56AA" w:rsidR="001936E8" w:rsidRDefault="001936E8" w:rsidP="001936E8">
      <w:pPr>
        <w:pStyle w:val="04Numbering"/>
      </w:pPr>
      <w:r>
        <w:t>All operations involving commercial divers must meet the requirements of the Diving at Work Regulations and appropriate Approved Codes of Practice.</w:t>
      </w:r>
    </w:p>
    <w:p w14:paraId="6D832013" w14:textId="77777777" w:rsidR="001936E8" w:rsidRDefault="001936E8" w:rsidP="001936E8">
      <w:pPr>
        <w:pStyle w:val="04Numbering"/>
        <w:numPr>
          <w:ilvl w:val="0"/>
          <w:numId w:val="0"/>
        </w:numPr>
      </w:pPr>
    </w:p>
    <w:p w14:paraId="5A726AF1" w14:textId="3D193836" w:rsidR="001936E8" w:rsidRDefault="001936E8" w:rsidP="001936E8">
      <w:pPr>
        <w:pStyle w:val="04Numbering"/>
      </w:pPr>
      <w:r>
        <w:t xml:space="preserve">The </w:t>
      </w:r>
      <w:hyperlink r:id="rId11" w:history="1">
        <w:r w:rsidRPr="002E35BB">
          <w:rPr>
            <w:rStyle w:val="Hyperlink"/>
            <w:color w:val="002060"/>
          </w:rPr>
          <w:t>Diving and Swimming Request forms</w:t>
        </w:r>
      </w:hyperlink>
      <w:r w:rsidRPr="002E35BB">
        <w:rPr>
          <w:color w:val="002060"/>
        </w:rPr>
        <w:t xml:space="preserve"> are </w:t>
      </w:r>
      <w:r>
        <w:t>a notification of intended works for the purpose of deconflicting marine activities.</w:t>
      </w:r>
    </w:p>
    <w:p w14:paraId="2559068A" w14:textId="77777777" w:rsidR="0096460D" w:rsidRDefault="0096460D" w:rsidP="0096460D">
      <w:pPr>
        <w:pStyle w:val="ListParagraph"/>
      </w:pPr>
    </w:p>
    <w:p w14:paraId="022A21A2" w14:textId="1F050229" w:rsidR="0096460D" w:rsidRDefault="00117CFA" w:rsidP="001936E8">
      <w:pPr>
        <w:pStyle w:val="04Numbering"/>
        <w:rPr>
          <w:color w:val="44546A"/>
        </w:rPr>
      </w:pPr>
      <w:r w:rsidRPr="003464DA">
        <w:rPr>
          <w:rStyle w:val="03TextChar"/>
        </w:rPr>
        <w:t xml:space="preserve">All operations involving commercial divers must </w:t>
      </w:r>
      <w:r w:rsidR="007F2E60" w:rsidRPr="003464DA">
        <w:rPr>
          <w:rStyle w:val="03TextChar"/>
        </w:rPr>
        <w:t>always have a safety</w:t>
      </w:r>
      <w:r w:rsidR="49608E15" w:rsidRPr="003464DA">
        <w:rPr>
          <w:rStyle w:val="03TextChar"/>
        </w:rPr>
        <w:t>/support</w:t>
      </w:r>
      <w:r w:rsidR="007F2E60" w:rsidRPr="003464DA">
        <w:rPr>
          <w:rStyle w:val="03TextChar"/>
        </w:rPr>
        <w:t xml:space="preserve"> boat present</w:t>
      </w:r>
      <w:r w:rsidRPr="003464DA">
        <w:rPr>
          <w:rStyle w:val="03TextChar"/>
        </w:rPr>
        <w:t xml:space="preserve"> </w:t>
      </w:r>
      <w:r w:rsidR="00213AC2" w:rsidRPr="003464DA">
        <w:rPr>
          <w:rStyle w:val="03TextChar"/>
        </w:rPr>
        <w:t>to ensure the safety of the divers and maintain efficient communication with Southampton VTS</w:t>
      </w:r>
      <w:r w:rsidR="00213AC2">
        <w:rPr>
          <w:color w:val="44546A"/>
          <w:lang w:val="en-US"/>
        </w:rPr>
        <w:t>.</w:t>
      </w:r>
    </w:p>
    <w:p w14:paraId="727D8B12" w14:textId="77777777" w:rsidR="001936E8" w:rsidRDefault="001936E8" w:rsidP="001936E8">
      <w:pPr>
        <w:pStyle w:val="04Numbering"/>
        <w:numPr>
          <w:ilvl w:val="0"/>
          <w:numId w:val="0"/>
        </w:numPr>
      </w:pPr>
    </w:p>
    <w:p w14:paraId="554D247A" w14:textId="5D3F2813" w:rsidR="001936E8" w:rsidRDefault="001936E8" w:rsidP="001936E8">
      <w:pPr>
        <w:pStyle w:val="04Numbering"/>
      </w:pPr>
      <w:r>
        <w:t>In all cases, communications on VHF Channel 12 must be in place and must be checked with Southampton VTS before operations commence.</w:t>
      </w:r>
      <w:r w:rsidR="003464DA">
        <w:t xml:space="preserve"> </w:t>
      </w:r>
      <w:r>
        <w:t>A constant listening watch must be maintained throughout all stages of the operation.</w:t>
      </w:r>
    </w:p>
    <w:p w14:paraId="0B7D4EBD" w14:textId="77777777" w:rsidR="001936E8" w:rsidRDefault="001936E8" w:rsidP="001936E8">
      <w:pPr>
        <w:pStyle w:val="04Numbering"/>
        <w:numPr>
          <w:ilvl w:val="0"/>
          <w:numId w:val="0"/>
        </w:numPr>
      </w:pPr>
    </w:p>
    <w:p w14:paraId="61426A25" w14:textId="30C8EA15" w:rsidR="001936E8" w:rsidRDefault="001936E8" w:rsidP="001936E8">
      <w:pPr>
        <w:pStyle w:val="04Numbering"/>
      </w:pPr>
      <w:r>
        <w:t>For the purpose of this Notice a ‘swimmer’ is defined as a person who enters the water to undertake a commercial operation within the Port area and who is not subject to the requirements of Diving at Work Regulations.</w:t>
      </w:r>
    </w:p>
    <w:p w14:paraId="4BEF0434" w14:textId="77777777" w:rsidR="001936E8" w:rsidRDefault="001936E8" w:rsidP="001936E8">
      <w:pPr>
        <w:pStyle w:val="04Numbering"/>
        <w:numPr>
          <w:ilvl w:val="0"/>
          <w:numId w:val="0"/>
        </w:numPr>
      </w:pPr>
    </w:p>
    <w:p w14:paraId="2B8114E9" w14:textId="0E6AA4D7" w:rsidR="001936E8" w:rsidRDefault="001936E8" w:rsidP="001936E8">
      <w:pPr>
        <w:pStyle w:val="04Numbering"/>
      </w:pPr>
      <w:r>
        <w:t xml:space="preserve">Breath </w:t>
      </w:r>
      <w:r w:rsidRPr="002E35BB">
        <w:rPr>
          <w:color w:val="002060"/>
        </w:rPr>
        <w:t xml:space="preserve">Hold Diving and </w:t>
      </w:r>
      <w:r w:rsidR="00354FBF" w:rsidRPr="002E35BB">
        <w:rPr>
          <w:color w:val="002060"/>
        </w:rPr>
        <w:t xml:space="preserve">Self-contained underwater breathing apparatus </w:t>
      </w:r>
      <w:r w:rsidR="00354FBF" w:rsidRPr="002E35BB">
        <w:rPr>
          <w:b/>
          <w:bCs/>
          <w:color w:val="002060"/>
        </w:rPr>
        <w:t xml:space="preserve">(SCUBA) </w:t>
      </w:r>
      <w:r w:rsidRPr="002E35BB">
        <w:rPr>
          <w:color w:val="002060"/>
        </w:rPr>
        <w:t xml:space="preserve">Diving </w:t>
      </w:r>
      <w:r>
        <w:t>are not permitted.</w:t>
      </w:r>
    </w:p>
    <w:p w14:paraId="120BF634" w14:textId="77777777" w:rsidR="001936E8" w:rsidRDefault="001936E8" w:rsidP="001936E8">
      <w:pPr>
        <w:pStyle w:val="04Numbering"/>
        <w:numPr>
          <w:ilvl w:val="0"/>
          <w:numId w:val="0"/>
        </w:numPr>
      </w:pPr>
    </w:p>
    <w:p w14:paraId="6FF0EE46" w14:textId="765A36FC" w:rsidR="001936E8" w:rsidRDefault="001936E8" w:rsidP="001936E8">
      <w:pPr>
        <w:pStyle w:val="04Numbering"/>
      </w:pPr>
      <w:r>
        <w:t xml:space="preserve">All Masters, Contractors and Agents must ensure that a formal Safe System of Work, with appropriate Risk Assessments, is submitted with a request to Southampton VTS prior to commencing any commercial </w:t>
      </w:r>
      <w:r w:rsidR="000B49D4">
        <w:t>operation.</w:t>
      </w:r>
    </w:p>
    <w:p w14:paraId="08F1D4EA" w14:textId="77777777" w:rsidR="001936E8" w:rsidRDefault="001936E8" w:rsidP="001936E8">
      <w:pPr>
        <w:pStyle w:val="03Text"/>
      </w:pPr>
    </w:p>
    <w:p w14:paraId="4FC6B9C4" w14:textId="3D349D21" w:rsidR="001936E8" w:rsidRDefault="001936E8" w:rsidP="009468C6">
      <w:pPr>
        <w:pStyle w:val="04Numbering"/>
      </w:pPr>
      <w:r>
        <w:t>As a minimum, issues to be considered within the Risk Assessments are to include, but not be limited to:</w:t>
      </w:r>
    </w:p>
    <w:p w14:paraId="15D18486" w14:textId="01A80398" w:rsidR="001936E8" w:rsidRDefault="001936E8" w:rsidP="00E9366E">
      <w:pPr>
        <w:pStyle w:val="04Numbering"/>
        <w:numPr>
          <w:ilvl w:val="1"/>
          <w:numId w:val="12"/>
        </w:numPr>
      </w:pPr>
      <w:r>
        <w:t>Scope of the task</w:t>
      </w:r>
    </w:p>
    <w:p w14:paraId="213B29B6" w14:textId="4408FC22" w:rsidR="001936E8" w:rsidRDefault="001936E8" w:rsidP="00E9366E">
      <w:pPr>
        <w:pStyle w:val="04Numbering"/>
        <w:numPr>
          <w:ilvl w:val="1"/>
          <w:numId w:val="12"/>
        </w:numPr>
      </w:pPr>
      <w:r>
        <w:t>Team size – sufficient, qualified, competent, prepared etc.</w:t>
      </w:r>
    </w:p>
    <w:p w14:paraId="46F1F560" w14:textId="270BF447" w:rsidR="001936E8" w:rsidRDefault="001936E8" w:rsidP="00E9366E">
      <w:pPr>
        <w:pStyle w:val="04Numbering"/>
        <w:numPr>
          <w:ilvl w:val="1"/>
          <w:numId w:val="12"/>
        </w:numPr>
      </w:pPr>
      <w:r>
        <w:t>Equipment involved – wet suit or coveralls, foot protection, gloves, head protection, harness, lifeline, weight belt, knife, light, tools for the job etc.</w:t>
      </w:r>
    </w:p>
    <w:p w14:paraId="22BAC588" w14:textId="2173A97C" w:rsidR="001936E8" w:rsidRDefault="001936E8" w:rsidP="00E9366E">
      <w:pPr>
        <w:pStyle w:val="04Numbering"/>
        <w:numPr>
          <w:ilvl w:val="1"/>
          <w:numId w:val="12"/>
        </w:numPr>
      </w:pPr>
      <w:r>
        <w:t>Operational elements – daylight only, access to the water, environmental effects, visibility, lookout, radio checks etc.</w:t>
      </w:r>
    </w:p>
    <w:p w14:paraId="1E21CA8A" w14:textId="3A1FACE7" w:rsidR="003D0B24" w:rsidRDefault="001936E8" w:rsidP="00E9366E">
      <w:pPr>
        <w:pStyle w:val="04Numbering"/>
        <w:numPr>
          <w:ilvl w:val="1"/>
          <w:numId w:val="12"/>
        </w:numPr>
      </w:pPr>
      <w:r>
        <w:t xml:space="preserve">Emergency measures – standby swimmer, recovery of injured personnel, availability of rescue craft, nearest landing point, nearest medical facility, road transport availability etc  </w:t>
      </w:r>
    </w:p>
    <w:p w14:paraId="6288BF0C" w14:textId="77777777" w:rsidR="00891131" w:rsidRDefault="00891131" w:rsidP="00891131"/>
    <w:p w14:paraId="4730A226" w14:textId="0B487E87" w:rsidR="00B35BA6" w:rsidRPr="00551226" w:rsidRDefault="00B35BA6" w:rsidP="00B35BA6">
      <w:pPr>
        <w:pStyle w:val="03Text"/>
        <w:rPr>
          <w:b/>
          <w:bCs/>
          <w:color w:val="1F3864"/>
        </w:rPr>
      </w:pPr>
      <w:r w:rsidRPr="00551226">
        <w:rPr>
          <w:b/>
          <w:bCs/>
          <w:color w:val="1F3864"/>
        </w:rPr>
        <w:t>Steven Masters</w:t>
      </w:r>
    </w:p>
    <w:p w14:paraId="13061874" w14:textId="1BA49145" w:rsidR="00B35BA6" w:rsidRPr="00551226" w:rsidRDefault="00B35BA6" w:rsidP="00B35BA6">
      <w:pPr>
        <w:pStyle w:val="03Text"/>
        <w:rPr>
          <w:b/>
          <w:bCs/>
          <w:color w:val="1F3864"/>
        </w:rPr>
      </w:pPr>
      <w:proofErr w:type="spellStart"/>
      <w:r w:rsidRPr="00551226">
        <w:rPr>
          <w:b/>
          <w:bCs/>
          <w:color w:val="1F3864"/>
        </w:rPr>
        <w:t>Harbour</w:t>
      </w:r>
      <w:proofErr w:type="spellEnd"/>
      <w:r w:rsidRPr="00551226">
        <w:rPr>
          <w:b/>
          <w:bCs/>
          <w:color w:val="1F3864"/>
        </w:rPr>
        <w:t xml:space="preserve"> Master</w:t>
      </w:r>
    </w:p>
    <w:sectPr w:rsidR="00B35BA6" w:rsidRPr="00551226" w:rsidSect="00551226">
      <w:headerReference w:type="default" r:id="rId12"/>
      <w:footerReference w:type="even" r:id="rId13"/>
      <w:footerReference w:type="default" r:id="rId14"/>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A57F" w14:textId="77777777" w:rsidR="001714EF" w:rsidRDefault="001714EF">
      <w:r>
        <w:separator/>
      </w:r>
    </w:p>
  </w:endnote>
  <w:endnote w:type="continuationSeparator" w:id="0">
    <w:p w14:paraId="49A62F00" w14:textId="77777777" w:rsidR="001714EF" w:rsidRDefault="001714EF">
      <w:r>
        <w:continuationSeparator/>
      </w:r>
    </w:p>
  </w:endnote>
  <w:endnote w:type="continuationNotice" w:id="1">
    <w:p w14:paraId="6CBD1FF5" w14:textId="77777777" w:rsidR="001714EF" w:rsidRDefault="00171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79815B4C"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5A34ECDE"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2AA7" w14:textId="77777777" w:rsidR="001714EF" w:rsidRDefault="001714EF">
      <w:r>
        <w:separator/>
      </w:r>
    </w:p>
  </w:footnote>
  <w:footnote w:type="continuationSeparator" w:id="0">
    <w:p w14:paraId="7D5A0757" w14:textId="77777777" w:rsidR="001714EF" w:rsidRDefault="001714EF">
      <w:r>
        <w:continuationSeparator/>
      </w:r>
    </w:p>
  </w:footnote>
  <w:footnote w:type="continuationNotice" w:id="1">
    <w:p w14:paraId="6B89E9B0" w14:textId="77777777" w:rsidR="001714EF" w:rsidRDefault="00171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16EE53F4" w:rsidR="00295384" w:rsidRDefault="00312D5E" w:rsidP="00295384">
    <w:pPr>
      <w:jc w:val="center"/>
      <w:rPr>
        <w:sz w:val="28"/>
        <w:lang w:val="en-GB"/>
      </w:rPr>
    </w:pPr>
    <w:r>
      <w:rPr>
        <w:noProof/>
        <w:sz w:val="28"/>
        <w:lang w:val="en-GB"/>
      </w:rPr>
      <w:drawing>
        <wp:inline distT="0" distB="0" distL="0" distR="0" wp14:anchorId="1974CABB" wp14:editId="2564611D">
          <wp:extent cx="361950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19500"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774A"/>
    <w:rsid w:val="00031F71"/>
    <w:rsid w:val="00037130"/>
    <w:rsid w:val="000409D4"/>
    <w:rsid w:val="000524BD"/>
    <w:rsid w:val="000525B2"/>
    <w:rsid w:val="000677A3"/>
    <w:rsid w:val="00075C93"/>
    <w:rsid w:val="00085116"/>
    <w:rsid w:val="000B49D4"/>
    <w:rsid w:val="000B5E22"/>
    <w:rsid w:val="000C5EA9"/>
    <w:rsid w:val="000D1AFF"/>
    <w:rsid w:val="000D41F7"/>
    <w:rsid w:val="000D6334"/>
    <w:rsid w:val="000E40AB"/>
    <w:rsid w:val="001064C4"/>
    <w:rsid w:val="0011408A"/>
    <w:rsid w:val="00117CFA"/>
    <w:rsid w:val="0012214F"/>
    <w:rsid w:val="00124E61"/>
    <w:rsid w:val="00125161"/>
    <w:rsid w:val="00126398"/>
    <w:rsid w:val="00126C65"/>
    <w:rsid w:val="00136746"/>
    <w:rsid w:val="001371EE"/>
    <w:rsid w:val="00162253"/>
    <w:rsid w:val="001714EF"/>
    <w:rsid w:val="001835C1"/>
    <w:rsid w:val="001936E8"/>
    <w:rsid w:val="001A3967"/>
    <w:rsid w:val="001A7590"/>
    <w:rsid w:val="001B044C"/>
    <w:rsid w:val="001C3228"/>
    <w:rsid w:val="001D056C"/>
    <w:rsid w:val="001D0ED7"/>
    <w:rsid w:val="001D0F4E"/>
    <w:rsid w:val="001F2A31"/>
    <w:rsid w:val="00200E9C"/>
    <w:rsid w:val="002062AB"/>
    <w:rsid w:val="00210B46"/>
    <w:rsid w:val="00211CB3"/>
    <w:rsid w:val="00213AC2"/>
    <w:rsid w:val="00214164"/>
    <w:rsid w:val="002150D7"/>
    <w:rsid w:val="0021567B"/>
    <w:rsid w:val="00215767"/>
    <w:rsid w:val="00220EDB"/>
    <w:rsid w:val="00226A51"/>
    <w:rsid w:val="0023145C"/>
    <w:rsid w:val="00234DC0"/>
    <w:rsid w:val="00241323"/>
    <w:rsid w:val="00243D87"/>
    <w:rsid w:val="00253C64"/>
    <w:rsid w:val="00262992"/>
    <w:rsid w:val="00265D44"/>
    <w:rsid w:val="00265EAD"/>
    <w:rsid w:val="00270D08"/>
    <w:rsid w:val="00273D9E"/>
    <w:rsid w:val="002812EA"/>
    <w:rsid w:val="00291665"/>
    <w:rsid w:val="00294D29"/>
    <w:rsid w:val="00295384"/>
    <w:rsid w:val="002A1A85"/>
    <w:rsid w:val="002B04D9"/>
    <w:rsid w:val="002B1018"/>
    <w:rsid w:val="002C21EE"/>
    <w:rsid w:val="002C736A"/>
    <w:rsid w:val="002E0072"/>
    <w:rsid w:val="002E35BB"/>
    <w:rsid w:val="002F4F03"/>
    <w:rsid w:val="00312AA3"/>
    <w:rsid w:val="00312D5E"/>
    <w:rsid w:val="00317486"/>
    <w:rsid w:val="00326468"/>
    <w:rsid w:val="003464DA"/>
    <w:rsid w:val="003541C5"/>
    <w:rsid w:val="00354FBF"/>
    <w:rsid w:val="00363F94"/>
    <w:rsid w:val="00372814"/>
    <w:rsid w:val="00390B39"/>
    <w:rsid w:val="003A06BE"/>
    <w:rsid w:val="003A1D3A"/>
    <w:rsid w:val="003A2C50"/>
    <w:rsid w:val="003A59C6"/>
    <w:rsid w:val="003A5E35"/>
    <w:rsid w:val="003A79D7"/>
    <w:rsid w:val="003B32E8"/>
    <w:rsid w:val="003B4128"/>
    <w:rsid w:val="003D0B24"/>
    <w:rsid w:val="003E76F3"/>
    <w:rsid w:val="00407970"/>
    <w:rsid w:val="00413D25"/>
    <w:rsid w:val="00415CD6"/>
    <w:rsid w:val="004226D3"/>
    <w:rsid w:val="00423AB5"/>
    <w:rsid w:val="004251A6"/>
    <w:rsid w:val="004259CE"/>
    <w:rsid w:val="00434321"/>
    <w:rsid w:val="00436551"/>
    <w:rsid w:val="004366E4"/>
    <w:rsid w:val="0044770B"/>
    <w:rsid w:val="00456982"/>
    <w:rsid w:val="0046061B"/>
    <w:rsid w:val="00460EE8"/>
    <w:rsid w:val="00484CB2"/>
    <w:rsid w:val="00491460"/>
    <w:rsid w:val="0049750E"/>
    <w:rsid w:val="004A3788"/>
    <w:rsid w:val="004A389F"/>
    <w:rsid w:val="004A52D3"/>
    <w:rsid w:val="004A5321"/>
    <w:rsid w:val="004B206C"/>
    <w:rsid w:val="004D3C7F"/>
    <w:rsid w:val="004E3680"/>
    <w:rsid w:val="004F0D71"/>
    <w:rsid w:val="00501099"/>
    <w:rsid w:val="00504F51"/>
    <w:rsid w:val="00510CEF"/>
    <w:rsid w:val="00526D9D"/>
    <w:rsid w:val="00544C4C"/>
    <w:rsid w:val="00551226"/>
    <w:rsid w:val="00552B1A"/>
    <w:rsid w:val="00560218"/>
    <w:rsid w:val="005641EA"/>
    <w:rsid w:val="00564BBF"/>
    <w:rsid w:val="00573241"/>
    <w:rsid w:val="005754BF"/>
    <w:rsid w:val="0058399E"/>
    <w:rsid w:val="005846FF"/>
    <w:rsid w:val="005A6EE7"/>
    <w:rsid w:val="005B41C6"/>
    <w:rsid w:val="005C4873"/>
    <w:rsid w:val="005C6DC4"/>
    <w:rsid w:val="005C6F6E"/>
    <w:rsid w:val="005F0D12"/>
    <w:rsid w:val="005F1C17"/>
    <w:rsid w:val="00600525"/>
    <w:rsid w:val="00605F2A"/>
    <w:rsid w:val="00611CFC"/>
    <w:rsid w:val="00623E28"/>
    <w:rsid w:val="006246A8"/>
    <w:rsid w:val="0062544B"/>
    <w:rsid w:val="00635EA2"/>
    <w:rsid w:val="00643690"/>
    <w:rsid w:val="00643ADB"/>
    <w:rsid w:val="00676D08"/>
    <w:rsid w:val="006C3DF3"/>
    <w:rsid w:val="006C63F9"/>
    <w:rsid w:val="006C6CDC"/>
    <w:rsid w:val="006D6900"/>
    <w:rsid w:val="006F4AB7"/>
    <w:rsid w:val="007006E6"/>
    <w:rsid w:val="007037AE"/>
    <w:rsid w:val="00704F4D"/>
    <w:rsid w:val="00721649"/>
    <w:rsid w:val="00721E6D"/>
    <w:rsid w:val="00725B39"/>
    <w:rsid w:val="007312B2"/>
    <w:rsid w:val="00741687"/>
    <w:rsid w:val="007467C8"/>
    <w:rsid w:val="0076331D"/>
    <w:rsid w:val="007674FD"/>
    <w:rsid w:val="00775806"/>
    <w:rsid w:val="00777600"/>
    <w:rsid w:val="0078084B"/>
    <w:rsid w:val="007808F6"/>
    <w:rsid w:val="00780C4E"/>
    <w:rsid w:val="007869AD"/>
    <w:rsid w:val="0078746C"/>
    <w:rsid w:val="00791A39"/>
    <w:rsid w:val="007938A8"/>
    <w:rsid w:val="007B6154"/>
    <w:rsid w:val="007C6165"/>
    <w:rsid w:val="007E31CD"/>
    <w:rsid w:val="007F2E60"/>
    <w:rsid w:val="007F4DA3"/>
    <w:rsid w:val="007F63D2"/>
    <w:rsid w:val="0080126A"/>
    <w:rsid w:val="0080438F"/>
    <w:rsid w:val="00827629"/>
    <w:rsid w:val="0084155B"/>
    <w:rsid w:val="0084478E"/>
    <w:rsid w:val="00853B51"/>
    <w:rsid w:val="00863AA8"/>
    <w:rsid w:val="00865C00"/>
    <w:rsid w:val="0087317D"/>
    <w:rsid w:val="00891131"/>
    <w:rsid w:val="008945E1"/>
    <w:rsid w:val="00895ECC"/>
    <w:rsid w:val="00896D55"/>
    <w:rsid w:val="008B1B33"/>
    <w:rsid w:val="008B47BF"/>
    <w:rsid w:val="008C2F41"/>
    <w:rsid w:val="008D563D"/>
    <w:rsid w:val="008E1DA5"/>
    <w:rsid w:val="008E258A"/>
    <w:rsid w:val="008E3365"/>
    <w:rsid w:val="008E510B"/>
    <w:rsid w:val="00902BC9"/>
    <w:rsid w:val="00903A8A"/>
    <w:rsid w:val="009219FC"/>
    <w:rsid w:val="00932211"/>
    <w:rsid w:val="00933B4D"/>
    <w:rsid w:val="009444CC"/>
    <w:rsid w:val="00953917"/>
    <w:rsid w:val="009555D6"/>
    <w:rsid w:val="009558B7"/>
    <w:rsid w:val="00955E63"/>
    <w:rsid w:val="0096460D"/>
    <w:rsid w:val="009721C2"/>
    <w:rsid w:val="009916F5"/>
    <w:rsid w:val="009951A7"/>
    <w:rsid w:val="009A0799"/>
    <w:rsid w:val="009B091D"/>
    <w:rsid w:val="009B3564"/>
    <w:rsid w:val="009C2C36"/>
    <w:rsid w:val="009D2505"/>
    <w:rsid w:val="009E7FD2"/>
    <w:rsid w:val="00A03A5A"/>
    <w:rsid w:val="00A06846"/>
    <w:rsid w:val="00A40AE4"/>
    <w:rsid w:val="00A50872"/>
    <w:rsid w:val="00A51656"/>
    <w:rsid w:val="00A61A28"/>
    <w:rsid w:val="00A655E0"/>
    <w:rsid w:val="00A677CC"/>
    <w:rsid w:val="00A87BA9"/>
    <w:rsid w:val="00AB0FEA"/>
    <w:rsid w:val="00AB4B97"/>
    <w:rsid w:val="00AC1A2F"/>
    <w:rsid w:val="00AC432C"/>
    <w:rsid w:val="00AF0EB2"/>
    <w:rsid w:val="00AF1F16"/>
    <w:rsid w:val="00AF2E13"/>
    <w:rsid w:val="00AF7D7B"/>
    <w:rsid w:val="00B004A8"/>
    <w:rsid w:val="00B17523"/>
    <w:rsid w:val="00B30157"/>
    <w:rsid w:val="00B35BA6"/>
    <w:rsid w:val="00B40F06"/>
    <w:rsid w:val="00B4229E"/>
    <w:rsid w:val="00B557E6"/>
    <w:rsid w:val="00B67D40"/>
    <w:rsid w:val="00B73FFD"/>
    <w:rsid w:val="00B748F6"/>
    <w:rsid w:val="00B749EF"/>
    <w:rsid w:val="00B761EE"/>
    <w:rsid w:val="00B8066B"/>
    <w:rsid w:val="00B85A2B"/>
    <w:rsid w:val="00BB57C6"/>
    <w:rsid w:val="00BC11CE"/>
    <w:rsid w:val="00BC49C9"/>
    <w:rsid w:val="00BC4F6B"/>
    <w:rsid w:val="00BD2CB7"/>
    <w:rsid w:val="00BD46F9"/>
    <w:rsid w:val="00BD6593"/>
    <w:rsid w:val="00BF398D"/>
    <w:rsid w:val="00BF6EA7"/>
    <w:rsid w:val="00C01F55"/>
    <w:rsid w:val="00C05021"/>
    <w:rsid w:val="00C25E20"/>
    <w:rsid w:val="00C26D25"/>
    <w:rsid w:val="00C335FA"/>
    <w:rsid w:val="00C34D35"/>
    <w:rsid w:val="00C50434"/>
    <w:rsid w:val="00C65F64"/>
    <w:rsid w:val="00C82196"/>
    <w:rsid w:val="00C87AE0"/>
    <w:rsid w:val="00C962B9"/>
    <w:rsid w:val="00CA7CFB"/>
    <w:rsid w:val="00CC607D"/>
    <w:rsid w:val="00CE6CA6"/>
    <w:rsid w:val="00CE6DF5"/>
    <w:rsid w:val="00CF37DB"/>
    <w:rsid w:val="00D05AC4"/>
    <w:rsid w:val="00D06577"/>
    <w:rsid w:val="00D134A1"/>
    <w:rsid w:val="00D1422C"/>
    <w:rsid w:val="00D22468"/>
    <w:rsid w:val="00D3223C"/>
    <w:rsid w:val="00D402C1"/>
    <w:rsid w:val="00D46251"/>
    <w:rsid w:val="00D478E5"/>
    <w:rsid w:val="00D60AC7"/>
    <w:rsid w:val="00D6240B"/>
    <w:rsid w:val="00D91599"/>
    <w:rsid w:val="00D936BE"/>
    <w:rsid w:val="00D953EA"/>
    <w:rsid w:val="00D97C07"/>
    <w:rsid w:val="00DB46EE"/>
    <w:rsid w:val="00DC42B7"/>
    <w:rsid w:val="00DC5E37"/>
    <w:rsid w:val="00DD23A3"/>
    <w:rsid w:val="00DD5E73"/>
    <w:rsid w:val="00DF1D85"/>
    <w:rsid w:val="00E01D1B"/>
    <w:rsid w:val="00E06E97"/>
    <w:rsid w:val="00E34C1B"/>
    <w:rsid w:val="00E34C3B"/>
    <w:rsid w:val="00E424EA"/>
    <w:rsid w:val="00E6197D"/>
    <w:rsid w:val="00E64144"/>
    <w:rsid w:val="00E66880"/>
    <w:rsid w:val="00E71430"/>
    <w:rsid w:val="00E71DFE"/>
    <w:rsid w:val="00E85C38"/>
    <w:rsid w:val="00E9366E"/>
    <w:rsid w:val="00E967F1"/>
    <w:rsid w:val="00EA1AA5"/>
    <w:rsid w:val="00EA38D1"/>
    <w:rsid w:val="00EA6581"/>
    <w:rsid w:val="00EC42E8"/>
    <w:rsid w:val="00EC7C1E"/>
    <w:rsid w:val="00EE12CF"/>
    <w:rsid w:val="00EE277E"/>
    <w:rsid w:val="00EE75F1"/>
    <w:rsid w:val="00EF0574"/>
    <w:rsid w:val="00EF0B41"/>
    <w:rsid w:val="00EF3559"/>
    <w:rsid w:val="00F24173"/>
    <w:rsid w:val="00F30E19"/>
    <w:rsid w:val="00F557EC"/>
    <w:rsid w:val="00F57631"/>
    <w:rsid w:val="00F77B2A"/>
    <w:rsid w:val="00F925F7"/>
    <w:rsid w:val="00FA5B43"/>
    <w:rsid w:val="00FB3153"/>
    <w:rsid w:val="00FB3204"/>
    <w:rsid w:val="00FC18F5"/>
    <w:rsid w:val="00FC53D2"/>
    <w:rsid w:val="00FC56B0"/>
    <w:rsid w:val="00FE06E2"/>
    <w:rsid w:val="00FE2BD6"/>
    <w:rsid w:val="00FE4BF6"/>
    <w:rsid w:val="00FF2BEE"/>
    <w:rsid w:val="00FF2E69"/>
    <w:rsid w:val="255A8B10"/>
    <w:rsid w:val="49608E15"/>
    <w:rsid w:val="5353631A"/>
    <w:rsid w:val="7AC991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C18A5AF0-E431-4511-970B-174B4357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vts.co.uk/Vessel_Traffic_Services/Applications_Permissions/Diving_Swimming_Requ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2.xml><?xml version="1.0" encoding="utf-8"?>
<ds:datastoreItem xmlns:ds="http://schemas.openxmlformats.org/officeDocument/2006/customXml" ds:itemID="{F28F91C9-CB48-4BB4-8235-99EA771B99F5}">
  <ds:schemaRefs>
    <ds:schemaRef ds:uri="http://schemas.microsoft.com/office/2006/metadata/properties"/>
    <ds:schemaRef ds:uri="http://schemas.microsoft.com/office/infopath/2007/PartnerControls"/>
    <ds:schemaRef ds:uri="b4c0aac3-afb3-412e-814c-ebfe4e2bfd5a"/>
    <ds:schemaRef ds:uri="11d4f78e-6598-4280-b310-3e462d90c335"/>
    <ds:schemaRef ds:uri="3f80fd69-c317-4398-acf5-73e94f1e4f78"/>
  </ds:schemaRefs>
</ds:datastoreItem>
</file>

<file path=customXml/itemProps3.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4.xml><?xml version="1.0" encoding="utf-8"?>
<ds:datastoreItem xmlns:ds="http://schemas.openxmlformats.org/officeDocument/2006/customXml" ds:itemID="{B7F770C1-7B06-4527-A759-AD07FF3F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2417</CharactersWithSpaces>
  <SharedDoc>false</SharedDoc>
  <HLinks>
    <vt:vector size="12" baseType="variant">
      <vt:variant>
        <vt:i4>7602185</vt:i4>
      </vt:variant>
      <vt:variant>
        <vt:i4>9</vt:i4>
      </vt:variant>
      <vt:variant>
        <vt:i4>0</vt:i4>
      </vt:variant>
      <vt:variant>
        <vt:i4>5</vt:i4>
      </vt:variant>
      <vt:variant>
        <vt:lpwstr>https://www.southamptonvts.co.uk/Port_Information/Notices_to_Mariners/</vt:lpwstr>
      </vt:variant>
      <vt:variant>
        <vt:lpwstr/>
      </vt:variant>
      <vt:variant>
        <vt:i4>7602185</vt:i4>
      </vt:variant>
      <vt:variant>
        <vt:i4>0</vt:i4>
      </vt:variant>
      <vt:variant>
        <vt:i4>0</vt:i4>
      </vt:variant>
      <vt:variant>
        <vt:i4>5</vt:i4>
      </vt:variant>
      <vt:variant>
        <vt:lpwstr>https://www.southamptonvts.co.uk/Port_Information/Notices_to_Mariners/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2026-01-02T10:17:00Z</cp:lastPrinted>
  <dcterms:created xsi:type="dcterms:W3CDTF">2025-12-04T15:25:00Z</dcterms:created>
  <dcterms:modified xsi:type="dcterms:W3CDTF">2026-01-02T10:17:00Z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f1dc67c1-cc6e-4e7d-ad19-44fc2e3865cd_Enabled">
    <vt:lpwstr>true</vt:lpwstr>
  </property>
  <property fmtid="{D5CDD505-2E9C-101B-9397-08002B2CF9AE}" pid="5" name="MSIP_Label_f1dc67c1-cc6e-4e7d-ad19-44fc2e3865cd_SetDate">
    <vt:lpwstr>2025-08-27T13:59:48Z</vt:lpwstr>
  </property>
  <property fmtid="{D5CDD505-2E9C-101B-9397-08002B2CF9AE}" pid="6" name="MSIP_Label_f1dc67c1-cc6e-4e7d-ad19-44fc2e3865cd_Method">
    <vt:lpwstr>Privileged</vt:lpwstr>
  </property>
  <property fmtid="{D5CDD505-2E9C-101B-9397-08002B2CF9AE}" pid="7" name="MSIP_Label_f1dc67c1-cc6e-4e7d-ad19-44fc2e3865cd_Name">
    <vt:lpwstr>Public</vt:lpwstr>
  </property>
  <property fmtid="{D5CDD505-2E9C-101B-9397-08002B2CF9AE}" pid="8" name="MSIP_Label_f1dc67c1-cc6e-4e7d-ad19-44fc2e3865cd_SiteId">
    <vt:lpwstr>d4b8cd2d-d0c8-437d-87ea-58d544aacf38</vt:lpwstr>
  </property>
  <property fmtid="{D5CDD505-2E9C-101B-9397-08002B2CF9AE}" pid="9" name="MSIP_Label_f1dc67c1-cc6e-4e7d-ad19-44fc2e3865cd_ActionId">
    <vt:lpwstr>d6b9d4c6-a5d2-4ac8-84a6-7f036457d5de</vt:lpwstr>
  </property>
  <property fmtid="{D5CDD505-2E9C-101B-9397-08002B2CF9AE}" pid="10" name="MSIP_Label_f1dc67c1-cc6e-4e7d-ad19-44fc2e3865cd_ContentBits">
    <vt:lpwstr>2</vt:lpwstr>
  </property>
  <property fmtid="{D5CDD505-2E9C-101B-9397-08002B2CF9AE}" pid="11" name="MSIP_Label_f1dc67c1-cc6e-4e7d-ad19-44fc2e3865cd_Tag">
    <vt:lpwstr>10, 0, 1, 1</vt:lpwstr>
  </property>
</Properties>
</file>